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760" w:firstLine="0"/>
        <w:jc w:val="right"/>
        <w:rPr>
          <w:rFonts w:ascii="Century Gothic" w:cs="Century Gothic" w:eastAsia="Century Gothic" w:hAnsi="Century Gothic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510"/>
        </w:tabs>
        <w:spacing w:line="240" w:lineRule="auto"/>
        <w:jc w:val="center"/>
        <w:rPr>
          <w:rFonts w:ascii="Century Gothic" w:cs="Century Gothic" w:eastAsia="Century Gothic" w:hAnsi="Century Gothic"/>
          <w:b w:val="1"/>
          <w:color w:val="002060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34"/>
          <w:szCs w:val="34"/>
          <w:rtl w:val="0"/>
        </w:rPr>
        <w:t xml:space="preserve">Edenred, principal proveedor para la gestión del consumo de combustible para el  Gobierno Federal</w:t>
      </w:r>
    </w:p>
    <w:p w:rsidR="00000000" w:rsidDel="00000000" w:rsidP="00000000" w:rsidRDefault="00000000" w:rsidRPr="00000000" w14:paraId="00000003">
      <w:pPr>
        <w:spacing w:after="120" w:line="259" w:lineRule="auto"/>
        <w:jc w:val="center"/>
        <w:rPr>
          <w:rFonts w:ascii="Century Gothic" w:cs="Century Gothic" w:eastAsia="Century Gothic" w:hAnsi="Century Gothic"/>
          <w:i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2060"/>
          <w:sz w:val="20"/>
          <w:szCs w:val="20"/>
          <w:rtl w:val="0"/>
        </w:rPr>
        <w:t xml:space="preserve">Ciudad de México, a 27 de abril de 2021.- 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En el marco de la licitación pública iniciada en el pasado enero por la Secretaría de Hacienda y Crédito Público (SHCP), Edenred México, </w:t>
      </w:r>
      <w:r w:rsidDel="00000000" w:rsidR="00000000" w:rsidRPr="00000000">
        <w:rPr>
          <w:rFonts w:ascii="Century Gothic" w:cs="Century Gothic" w:eastAsia="Century Gothic" w:hAnsi="Century Gothic"/>
          <w:color w:val="11204c"/>
          <w:sz w:val="20"/>
          <w:szCs w:val="20"/>
          <w:rtl w:val="0"/>
        </w:rPr>
        <w:t xml:space="preserve">plataforma líder en emisión en pagos y servicios para empresas, logró el fallo positivo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0"/>
          <w:szCs w:val="20"/>
          <w:rtl w:val="0"/>
        </w:rPr>
        <w:t xml:space="preserve"> para administrar el uso de combustible en los vehículos del Gobierno Federal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 y así convertirse en el principal proveedor en la gestión de combustible para las dependencias del sector público.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0"/>
          <w:szCs w:val="20"/>
          <w:rtl w:val="0"/>
        </w:rPr>
        <w:t xml:space="preserve">A partir del 1 abril hasta el 31 de diciembre del 2021, 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Edenred México administrará el control del gasto de combustible en más de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0"/>
          <w:szCs w:val="20"/>
          <w:rtl w:val="0"/>
        </w:rPr>
        <w:t xml:space="preserve">70,000 vehículos pertenecientes a 185 entidades del Gobierno de México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, como oficinas, secretarías, institutos, la Guardia Nacional, entre otras, a través de su solución,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0"/>
          <w:szCs w:val="20"/>
          <w:rtl w:val="0"/>
        </w:rPr>
        <w:t xml:space="preserve">Ticket Car®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Factores como su experiencia en el sector y la amplia red de cobertura en estaciones del país, así como el uso y adaptación de tecnologías digitales, destacaron en la obtención de la licitación por parte de Edenred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  <w:i w:val="1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Sobre el resultado de este evento,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0"/>
          <w:szCs w:val="20"/>
          <w:rtl w:val="0"/>
        </w:rPr>
        <w:t xml:space="preserve">Javier Mier Y Terán, director de la Unidad de Negocio de Flota y Movilidad de Edenred México, 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comentó: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2060"/>
          <w:sz w:val="20"/>
          <w:szCs w:val="20"/>
          <w:rtl w:val="0"/>
        </w:rPr>
        <w:t xml:space="preserve">“Este logro es de gran importancia para Edenred en el mercado mexicano y nos consolida como empresa líder en la industria, ya que hoy nuestras soluciones resuelven las necesidades tanto del sector público como de la iniciativa privada.” 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  <w:i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  <w:color w:val="11204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Haber ganado licitación es una muestra más de la resiliencia de Grupo Edenred frente a tiempos de incertidumbre, demostrando flexibilidad ante los cambios con un fuerte enfoque hacia la recuperación, teniendo a </w:t>
      </w:r>
      <w:r w:rsidDel="00000000" w:rsidR="00000000" w:rsidRPr="00000000">
        <w:rPr>
          <w:rFonts w:ascii="Century Gothic" w:cs="Century Gothic" w:eastAsia="Century Gothic" w:hAnsi="Century Gothic"/>
          <w:color w:val="11204c"/>
          <w:sz w:val="20"/>
          <w:szCs w:val="20"/>
          <w:rtl w:val="0"/>
        </w:rPr>
        <w:t xml:space="preserve">México como su principal mercado en América Latina. 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color w:val="11204c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▬▬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6"/>
          <w:szCs w:val="16"/>
          <w:rtl w:val="0"/>
        </w:rPr>
        <w:t xml:space="preserve">Edenred es la plataforma digital líder en servicios y pagos y el compañero diario de las personas en el trabajo, que conecta a más de 50 millones de usuarios y 2 millones de comerciantes asociados en 46 países a través de más de 850.000 clientes corporativos.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6"/>
          <w:szCs w:val="16"/>
          <w:rtl w:val="0"/>
        </w:rPr>
        <w:t xml:space="preserve">Edenred ofrece soluciones de pago con fines específicos para la alimentación (como los beneficios de las comidas), la movilidad (como las soluciones de combustible, mantenimiento, peaje, aparcamiento y desplazamientos), los incentivos (como las tarjetas regalo) y los pagos corporativos (como las tarjetas virtuales). Estas soluciones aumentan el bienestar y el poder adquisitivo de los usuarios, mejoran el atractivo y la eficiencia de las empresas y vitalizan el mercado de trabajo y la economía local. También fomentan el acceso a una alimentación más sana, a productos más respetuosos con el medio ambiente y a una movilidad más suave.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6"/>
          <w:szCs w:val="16"/>
          <w:rtl w:val="0"/>
        </w:rPr>
        <w:t xml:space="preserve">Los 10,000 empleados de Edenred están comprometidos con hacer del mundo del trabajo un ecosistema conectado que sea más seguro, más eficiente y más fácil de usar cada día.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color w:val="002060"/>
          <w:sz w:val="16"/>
          <w:szCs w:val="16"/>
          <w:rtl w:val="0"/>
        </w:rPr>
        <w:t xml:space="preserve">En 2020, gracias a sus activos tecnológicos globales, el Grupo gestionó cerca de 30,000 millones de euros de volumen de negocio, realizado principalmente a través de aplicaciones móviles, plataformas online y tarjetas.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6"/>
          <w:szCs w:val="16"/>
          <w:rtl w:val="0"/>
        </w:rPr>
        <w:t xml:space="preserve">Edenred cotiza en la bolsa Euronext de París y está incluida en los siguientes índices CAC Next 20, FTSE4Good y MSCI Europe.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▬▬</w:t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Century Gothic" w:cs="Century Gothic" w:eastAsia="Century Gothic" w:hAnsi="Century Gothic"/>
          <w:b w:val="1"/>
          <w:color w:val="16205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20"/>
          <w:szCs w:val="20"/>
          <w:rtl w:val="0"/>
        </w:rPr>
        <w:t xml:space="preserve">CONTACTOS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Century Gothic" w:cs="Century Gothic" w:eastAsia="Century Gothic" w:hAnsi="Century Gothic"/>
          <w:b w:val="1"/>
          <w:color w:val="16205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  <w:rtl w:val="0"/>
              </w:rPr>
              <w:t xml:space="preserve">Dirección Estrategia y Marketing</w:t>
            </w:r>
          </w:p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Santiago Gómez</w:t>
            </w:r>
          </w:p>
          <w:p w:rsidR="00000000" w:rsidDel="00000000" w:rsidP="00000000" w:rsidRDefault="00000000" w:rsidRPr="00000000" w14:paraId="00000023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3339 1481</w:t>
            </w:r>
          </w:p>
          <w:p w:rsidR="00000000" w:rsidDel="00000000" w:rsidP="00000000" w:rsidRDefault="00000000" w:rsidRPr="00000000" w14:paraId="00000024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santiago.gomez@edenred.com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  <w:rtl w:val="0"/>
              </w:rPr>
              <w:t xml:space="preserve">Comunicación Marketing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Victoria Balboa</w:t>
            </w:r>
          </w:p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3555 8287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victoria.balboa@edenred.com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  <w:rtl w:val="0"/>
              </w:rPr>
              <w:t xml:space="preserve">Media Relations: another </w:t>
            </w:r>
          </w:p>
          <w:p w:rsidR="00000000" w:rsidDel="00000000" w:rsidP="00000000" w:rsidRDefault="00000000" w:rsidRPr="00000000" w14:paraId="0000002B">
            <w:pPr>
              <w:spacing w:line="259" w:lineRule="auto"/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  <w:rtl w:val="0"/>
              </w:rPr>
              <w:t xml:space="preserve">Ricardo García</w:t>
            </w:r>
          </w:p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  <w:rtl w:val="0"/>
              </w:rPr>
              <w:t xml:space="preserve">+52 (55) 1452 9158</w:t>
            </w:r>
          </w:p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ricardo.garcia@another.co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Ernesto Pacheco</w:t>
            </w:r>
          </w:p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5213 5035</w:t>
            </w:r>
          </w:p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ernesto.pacheco@another.co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-352424</wp:posOffset>
          </wp:positionV>
          <wp:extent cx="1373968" cy="88094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968" cy="8809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7364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7364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rnesto.pacheco@another.co" TargetMode="External"/><Relationship Id="rId9" Type="http://schemas.openxmlformats.org/officeDocument/2006/relationships/hyperlink" Target="mailto:isaac.salas@extrategi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ntiago.gomez@edenred.com" TargetMode="External"/><Relationship Id="rId8" Type="http://schemas.openxmlformats.org/officeDocument/2006/relationships/hyperlink" Target="mailto:victoria.balboa@edenre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3QtTO5bt+B/sbQDK03DqyfYCg==">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2021-04-06T02:32:00Z</dcterms:created>
  <dc:creator>BALBOA Victoria</dc:creator>
</cp:coreProperties>
</file>